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FE0E5B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E84D56">
        <w:rPr>
          <w:bCs/>
          <w:noProof w:val="0"/>
          <w:sz w:val="24"/>
          <w:szCs w:val="24"/>
        </w:rPr>
        <w:t>9e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E84D56">
        <w:rPr>
          <w:bCs/>
          <w:noProof w:val="0"/>
          <w:sz w:val="24"/>
          <w:szCs w:val="24"/>
        </w:rPr>
        <w:t>20</w:t>
      </w:r>
      <w:r w:rsidR="001303E7">
        <w:rPr>
          <w:bCs/>
          <w:noProof w:val="0"/>
          <w:sz w:val="24"/>
          <w:szCs w:val="24"/>
        </w:rPr>
        <w:t>01002</w:t>
      </w:r>
    </w:p>
    <w:p w14:paraId="11776FA6" w14:textId="3558BF6F" w:rsidR="00A209D6" w:rsidRPr="00465587" w:rsidRDefault="00E84D56" w:rsidP="00A209D6">
      <w:pPr>
        <w:pStyle w:val="Header"/>
        <w:tabs>
          <w:tab w:val="right" w:pos="9639"/>
        </w:tabs>
        <w:rPr>
          <w:rFonts w:eastAsia="SimSun"/>
          <w:bCs/>
          <w:sz w:val="24"/>
          <w:szCs w:val="24"/>
          <w:lang w:eastAsia="zh-CN"/>
        </w:rPr>
      </w:pPr>
      <w:r w:rsidRPr="00E84D56">
        <w:rPr>
          <w:rFonts w:eastAsia="SimSun"/>
          <w:bCs/>
          <w:sz w:val="24"/>
          <w:szCs w:val="24"/>
          <w:lang w:eastAsia="zh-CN"/>
        </w:rPr>
        <w:t>Elbonia, 24 Feb – 6 Mar 2020</w:t>
      </w:r>
      <w:r w:rsidR="00A209D6">
        <w:rPr>
          <w:rFonts w:eastAsia="SimSun"/>
          <w:noProof w:val="0"/>
          <w:sz w:val="24"/>
          <w:szCs w:val="24"/>
          <w:lang w:eastAsia="zh-CN"/>
        </w:rPr>
        <w:tab/>
      </w:r>
      <w:r w:rsidRPr="00E84D56">
        <w:rPr>
          <w:rFonts w:eastAsia="SimSun"/>
          <w:noProof w:val="0"/>
          <w:sz w:val="16"/>
          <w:szCs w:val="16"/>
          <w:lang w:eastAsia="zh-CN"/>
        </w:rPr>
        <w:t>revision of R2-1913151</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E7F536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D2D69">
        <w:rPr>
          <w:rFonts w:cs="Arial"/>
          <w:b/>
          <w:bCs/>
          <w:sz w:val="24"/>
          <w:lang w:eastAsia="ja-JP"/>
        </w:rPr>
        <w:t>6.9.</w:t>
      </w:r>
      <w:r w:rsidR="001303E7">
        <w:rPr>
          <w:rFonts w:cs="Arial"/>
          <w:b/>
          <w:bCs/>
          <w:sz w:val="24"/>
          <w:lang w:eastAsia="ja-JP"/>
        </w:rPr>
        <w:t>3.1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15B1F1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D2D69">
        <w:rPr>
          <w:rFonts w:ascii="Arial" w:hAnsi="Arial" w:cs="Arial"/>
          <w:b/>
          <w:bCs/>
          <w:sz w:val="24"/>
        </w:rPr>
        <w:t xml:space="preserve">On </w:t>
      </w:r>
      <w:r w:rsidR="00E84D56">
        <w:rPr>
          <w:rFonts w:ascii="Arial" w:hAnsi="Arial" w:cs="Arial"/>
          <w:b/>
          <w:bCs/>
          <w:sz w:val="24"/>
        </w:rPr>
        <w:t>r</w:t>
      </w:r>
      <w:r w:rsidR="00802445">
        <w:rPr>
          <w:rFonts w:ascii="Arial" w:hAnsi="Arial" w:cs="Arial"/>
          <w:b/>
          <w:bCs/>
          <w:sz w:val="24"/>
        </w:rPr>
        <w:t xml:space="preserve">econfigurations </w:t>
      </w:r>
      <w:r w:rsidR="00E84D56">
        <w:rPr>
          <w:rFonts w:ascii="Arial" w:hAnsi="Arial" w:cs="Arial"/>
          <w:b/>
          <w:bCs/>
          <w:sz w:val="24"/>
        </w:rPr>
        <w:t>when</w:t>
      </w:r>
      <w:r w:rsidR="00802445">
        <w:rPr>
          <w:rFonts w:ascii="Arial" w:hAnsi="Arial" w:cs="Arial"/>
          <w:b/>
          <w:bCs/>
          <w:sz w:val="24"/>
        </w:rPr>
        <w:t xml:space="preserve"> CHO</w:t>
      </w:r>
      <w:r w:rsidR="00E84D56">
        <w:rPr>
          <w:rFonts w:ascii="Arial" w:hAnsi="Arial" w:cs="Arial"/>
          <w:b/>
          <w:bCs/>
          <w:sz w:val="24"/>
        </w:rPr>
        <w:t xml:space="preserve"> is </w:t>
      </w:r>
      <w:r w:rsidR="002D2D69">
        <w:rPr>
          <w:rFonts w:ascii="Arial" w:hAnsi="Arial" w:cs="Arial"/>
          <w:b/>
          <w:bCs/>
          <w:sz w:val="24"/>
        </w:rPr>
        <w:t>prepare</w:t>
      </w:r>
      <w:r w:rsidR="00E84D56">
        <w:rPr>
          <w:rFonts w:ascii="Arial" w:hAnsi="Arial" w:cs="Arial"/>
          <w:b/>
          <w:bCs/>
          <w:sz w:val="24"/>
        </w:rPr>
        <w:t>d</w:t>
      </w:r>
    </w:p>
    <w:p w14:paraId="56ECF8FB" w14:textId="5C188E59" w:rsidR="009B0CF1" w:rsidRDefault="00A209D6" w:rsidP="009B0CF1">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9B0CF1">
        <w:rPr>
          <w:rFonts w:ascii="Arial" w:hAnsi="Arial" w:cs="Arial"/>
          <w:b/>
          <w:bCs/>
          <w:sz w:val="24"/>
        </w:rPr>
        <w:t>N</w:t>
      </w:r>
      <w:r w:rsidR="009B0CF1" w:rsidRPr="009B0CF1">
        <w:rPr>
          <w:rFonts w:ascii="Arial" w:hAnsi="Arial" w:cs="Arial"/>
          <w:b/>
          <w:bCs/>
          <w:sz w:val="24"/>
        </w:rPr>
        <w:t>R_Mob_enh</w:t>
      </w:r>
      <w:proofErr w:type="spellEnd"/>
      <w:r w:rsidR="009B0CF1" w:rsidRPr="009B0CF1">
        <w:rPr>
          <w:rFonts w:ascii="Arial" w:hAnsi="Arial" w:cs="Arial"/>
          <w:b/>
          <w:bCs/>
          <w:sz w:val="24"/>
        </w:rPr>
        <w:t>-Core - Release 16</w:t>
      </w:r>
    </w:p>
    <w:p w14:paraId="6FEB19D6" w14:textId="0F65FECF" w:rsidR="00A209D6" w:rsidRPr="00B266B0" w:rsidRDefault="00A209D6" w:rsidP="009B0CF1">
      <w:pPr>
        <w:ind w:left="1985" w:hanging="1985"/>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48D89F2" w14:textId="384D7799" w:rsidR="00526970" w:rsidRDefault="00E84D56" w:rsidP="00A950BA">
      <w:pPr>
        <w:jc w:val="both"/>
      </w:pPr>
      <w:r>
        <w:t>RAN3#106 has agreed to use source-initiated CHO replacement to modify the already prepared CHO. The procedure assumes the source may re-initiate HO preparation. This new request implicitly cancels the prepared CHO and triggers the admission control at the target for the new request. In addition, RAN2 decided the following:</w:t>
      </w:r>
    </w:p>
    <w:tbl>
      <w:tblPr>
        <w:tblStyle w:val="TableGrid"/>
        <w:tblW w:w="0" w:type="auto"/>
        <w:tblLook w:val="04A0" w:firstRow="1" w:lastRow="0" w:firstColumn="1" w:lastColumn="0" w:noHBand="0" w:noVBand="1"/>
      </w:tblPr>
      <w:tblGrid>
        <w:gridCol w:w="9631"/>
      </w:tblGrid>
      <w:tr w:rsidR="00E84D56" w14:paraId="6EBB179E" w14:textId="77777777" w:rsidTr="00E84D56">
        <w:tc>
          <w:tcPr>
            <w:tcW w:w="9631" w:type="dxa"/>
          </w:tcPr>
          <w:p w14:paraId="1E088B97" w14:textId="77777777" w:rsidR="00E84D56" w:rsidRDefault="00E84D56" w:rsidP="00E84D56">
            <w:r>
              <w:t xml:space="preserve">Agreements </w:t>
            </w:r>
          </w:p>
          <w:p w14:paraId="48DFF14D" w14:textId="77777777" w:rsidR="00E84D56" w:rsidRDefault="00E84D56" w:rsidP="00E84D56">
            <w:r>
              <w:t xml:space="preserve">1 RAN2 to confirm agreement on source configuration change are: </w:t>
            </w:r>
          </w:p>
          <w:p w14:paraId="523901D2" w14:textId="77777777" w:rsidR="00E84D56" w:rsidRDefault="00E84D56" w:rsidP="00E84D56">
            <w:r>
              <w:t xml:space="preserve">- Network ensures the UE stored CHO configuration is valid after source configuration change;  </w:t>
            </w:r>
          </w:p>
          <w:p w14:paraId="1229F57B" w14:textId="7007AFE0" w:rsidR="00E84D56" w:rsidRDefault="00E84D56" w:rsidP="00E84D56">
            <w:r>
              <w:t>- This may or may not require the network to provide the UE with a new CHO configuration along with the new source configuration;</w:t>
            </w:r>
          </w:p>
        </w:tc>
      </w:tr>
    </w:tbl>
    <w:p w14:paraId="78D32B30" w14:textId="6A32E7C1" w:rsidR="00E84D56" w:rsidRPr="008A1C37" w:rsidRDefault="00E84D56" w:rsidP="00526970">
      <w:pPr>
        <w:rPr>
          <w:lang w:val="en-US"/>
        </w:rPr>
      </w:pPr>
      <w:r>
        <w:br/>
        <w:t xml:space="preserve">In this paper we discuss how CHO preparation </w:t>
      </w:r>
      <w:r w:rsidR="009E7EA7">
        <w:t>shall be done in order to comply with the agreements above.</w:t>
      </w:r>
    </w:p>
    <w:p w14:paraId="2BBFF540" w14:textId="479567D8" w:rsidR="00A209D6" w:rsidRDefault="00A209D6" w:rsidP="00A209D6">
      <w:pPr>
        <w:pStyle w:val="Heading1"/>
      </w:pPr>
      <w:r w:rsidRPr="006E13D1">
        <w:t>2</w:t>
      </w:r>
      <w:r w:rsidRPr="006E13D1">
        <w:tab/>
      </w:r>
      <w:r w:rsidR="00F9023F">
        <w:t>Discussion</w:t>
      </w:r>
    </w:p>
    <w:p w14:paraId="5B02D85E" w14:textId="05500BBF" w:rsidR="00526970" w:rsidRPr="000D4ED4" w:rsidRDefault="00526970" w:rsidP="00A950BA">
      <w:pPr>
        <w:jc w:val="both"/>
      </w:pPr>
      <w:r>
        <w:t>In many cases, RRC reconfigurations do not affect the configured CHO target candidates</w:t>
      </w:r>
      <w:r w:rsidR="00B4059B">
        <w:t>, e.g.</w:t>
      </w:r>
      <w:r w:rsidR="00FD6ED0">
        <w:t xml:space="preserve"> when just source-cell specific parameters are changed, which are not handed over to the target cell</w:t>
      </w:r>
      <w:r w:rsidR="008E79BF">
        <w:t>, such as source cell beam configuration</w:t>
      </w:r>
      <w:r w:rsidR="00F9023F">
        <w:t>, CSI-RS configurations, measurement gaps, etc</w:t>
      </w:r>
      <w:r>
        <w:t xml:space="preserve">. Consequently, the source cell can reconfigure the UE without any </w:t>
      </w:r>
      <w:r w:rsidRPr="000D4ED4">
        <w:t>further action</w:t>
      </w:r>
      <w:r w:rsidR="000D4ED4" w:rsidRPr="000D4ED4">
        <w:t>s</w:t>
      </w:r>
      <w:r w:rsidR="00B4059B" w:rsidRPr="000D4ED4">
        <w:t xml:space="preserve"> towards the CHO target candidates</w:t>
      </w:r>
      <w:r w:rsidRPr="000D4ED4">
        <w:t>.</w:t>
      </w:r>
      <w:r w:rsidR="0037525F" w:rsidRPr="000D4ED4">
        <w:t xml:space="preserve"> </w:t>
      </w:r>
    </w:p>
    <w:p w14:paraId="6ADF474C" w14:textId="022EED65" w:rsidR="000D4ED4" w:rsidRDefault="000D4ED4" w:rsidP="00A950BA">
      <w:pPr>
        <w:jc w:val="both"/>
      </w:pPr>
      <w:r w:rsidRPr="000D4ED4">
        <w:t xml:space="preserve">In order to guarantee that the UE always has a valid </w:t>
      </w:r>
      <w:proofErr w:type="spellStart"/>
      <w:r w:rsidRPr="001303E7">
        <w:rPr>
          <w:i/>
          <w:iCs/>
        </w:rPr>
        <w:t>cho</w:t>
      </w:r>
      <w:proofErr w:type="spellEnd"/>
      <w:r w:rsidRPr="001303E7">
        <w:rPr>
          <w:i/>
          <w:iCs/>
        </w:rPr>
        <w:t>-Config</w:t>
      </w:r>
      <w:r w:rsidRPr="000D4ED4">
        <w:t xml:space="preserve"> without any race condition, the source cell has to cancel the CHO before initiating re-admission at the target side via HO Request. After receiving HO Request Ack from the target, and after reconfiguring the UE, the CHO has to be configured again. It is obvious that this procedure is signalling intensive and increases the risk of failures (since the UE is </w:t>
      </w:r>
      <w:r>
        <w:t xml:space="preserve">left </w:t>
      </w:r>
      <w:r w:rsidRPr="000D4ED4">
        <w:t>without</w:t>
      </w:r>
      <w:r>
        <w:t xml:space="preserve"> any</w:t>
      </w:r>
      <w:r w:rsidRPr="000D4ED4">
        <w:t xml:space="preserve"> </w:t>
      </w:r>
      <w:proofErr w:type="spellStart"/>
      <w:r w:rsidRPr="001303E7">
        <w:rPr>
          <w:i/>
          <w:iCs/>
        </w:rPr>
        <w:t>cho</w:t>
      </w:r>
      <w:proofErr w:type="spellEnd"/>
      <w:r w:rsidRPr="001303E7">
        <w:rPr>
          <w:i/>
          <w:iCs/>
        </w:rPr>
        <w:t>-Config</w:t>
      </w:r>
      <w:r w:rsidRPr="000D4ED4">
        <w:t xml:space="preserve"> for a while). </w:t>
      </w:r>
      <w:r>
        <w:t>Thus,</w:t>
      </w:r>
      <w:r w:rsidRPr="000D4ED4">
        <w:t xml:space="preserve"> the more often we can avoid this tedious procedure, the better it is.</w:t>
      </w:r>
    </w:p>
    <w:p w14:paraId="1C8C8D10" w14:textId="430B99D8" w:rsidR="000415CD" w:rsidRPr="000415CD" w:rsidRDefault="000D4ED4" w:rsidP="00A950BA">
      <w:pPr>
        <w:jc w:val="both"/>
        <w:rPr>
          <w:b/>
          <w:bCs/>
        </w:rPr>
      </w:pPr>
      <w:r w:rsidRPr="000415CD">
        <w:rPr>
          <w:b/>
          <w:bCs/>
        </w:rPr>
        <w:t>Observation 1: When re-admission at target node is needed, it is signalling intensive and risky</w:t>
      </w:r>
      <w:r w:rsidR="000415CD" w:rsidRPr="000415CD">
        <w:rPr>
          <w:b/>
          <w:bCs/>
        </w:rPr>
        <w:t>. The valid UE configuration may not always be ensured.</w:t>
      </w:r>
      <w:r w:rsidRPr="000415CD">
        <w:rPr>
          <w:b/>
          <w:bCs/>
        </w:rPr>
        <w:t xml:space="preserve">  </w:t>
      </w:r>
    </w:p>
    <w:p w14:paraId="5944FF42" w14:textId="518A6527" w:rsidR="00FB648B" w:rsidRDefault="000415CD" w:rsidP="00A950BA">
      <w:pPr>
        <w:jc w:val="both"/>
      </w:pPr>
      <w:r>
        <w:t>As per the currently discussed setup, the source does not know whether the target keeps certain configuration settings and needs to re-initiate the CHO preparation.  If it refrains from doing so, the UE may end up in undefined state i</w:t>
      </w:r>
      <w:r w:rsidR="00FB648B">
        <w:t>f the old HO command was issued with the intention that certain settings are to be kept (i.e. delta config).</w:t>
      </w:r>
      <w:r>
        <w:t xml:space="preserve"> </w:t>
      </w:r>
      <w:r w:rsidR="00FB648B">
        <w:t>On the other hand, such re-initialisation is very costly. With CHO use the following sequence of actions would be needed to configure the measurement gaps:</w:t>
      </w:r>
    </w:p>
    <w:p w14:paraId="45576255" w14:textId="29FDF6A1" w:rsidR="00FB648B" w:rsidRDefault="00FB648B" w:rsidP="00A950BA">
      <w:pPr>
        <w:pStyle w:val="ListParagraph"/>
        <w:numPr>
          <w:ilvl w:val="0"/>
          <w:numId w:val="14"/>
        </w:numPr>
        <w:jc w:val="both"/>
      </w:pPr>
      <w:r w:rsidRPr="00FB648B">
        <w:t>Send the first reconfiguration to the UE to configure gaps and inter-</w:t>
      </w:r>
      <w:proofErr w:type="spellStart"/>
      <w:r w:rsidRPr="00FB648B">
        <w:t>freq</w:t>
      </w:r>
      <w:proofErr w:type="spellEnd"/>
      <w:r w:rsidRPr="00FB648B">
        <w:t>/inter-RAT measurements. The CHO measurement</w:t>
      </w:r>
      <w:r>
        <w:t>s</w:t>
      </w:r>
      <w:r w:rsidRPr="00FB648B">
        <w:t xml:space="preserve"> would have to be </w:t>
      </w:r>
      <w:proofErr w:type="spellStart"/>
      <w:r w:rsidR="001303E7" w:rsidRPr="00FB648B">
        <w:t>deconfigure</w:t>
      </w:r>
      <w:r w:rsidR="001303E7">
        <w:t>d</w:t>
      </w:r>
      <w:proofErr w:type="spellEnd"/>
      <w:r w:rsidRPr="00FB648B">
        <w:t xml:space="preserve"> at this moment</w:t>
      </w:r>
    </w:p>
    <w:p w14:paraId="1894199E" w14:textId="37FEDE38" w:rsidR="00FB648B" w:rsidRDefault="00FB648B" w:rsidP="00A950BA">
      <w:pPr>
        <w:pStyle w:val="ListParagraph"/>
        <w:numPr>
          <w:ilvl w:val="0"/>
          <w:numId w:val="14"/>
        </w:numPr>
        <w:jc w:val="both"/>
      </w:pPr>
      <w:r>
        <w:t>Send a new CHO handover preparation to each prepare cell, to inform about this new gap configuration</w:t>
      </w:r>
    </w:p>
    <w:p w14:paraId="479FE395" w14:textId="4C334070" w:rsidR="00FB648B" w:rsidRDefault="00FB648B" w:rsidP="00A950BA">
      <w:pPr>
        <w:pStyle w:val="ListParagraph"/>
        <w:numPr>
          <w:ilvl w:val="0"/>
          <w:numId w:val="14"/>
        </w:numPr>
        <w:jc w:val="both"/>
      </w:pPr>
      <w:r>
        <w:t>Send yet another reconfiguration to provide new CHO measurement configurations with the updated HO commands</w:t>
      </w:r>
    </w:p>
    <w:p w14:paraId="2D515AFE" w14:textId="2BD30449" w:rsidR="00FB648B" w:rsidRDefault="00FB648B" w:rsidP="00A950BA">
      <w:pPr>
        <w:jc w:val="both"/>
      </w:pPr>
      <w:r>
        <w:lastRenderedPageBreak/>
        <w:t>During that period of reconfigurations, CHO would not be possible.</w:t>
      </w:r>
      <w:r w:rsidR="009C16D0">
        <w:t xml:space="preserve"> Please note that such excessive reconfiguration procedure is not necessary when the target would anyway not keep this part of source cell’s configuration (measurement gaps in our example). However, this procedure is unavoidable if source cell remains unaware. </w:t>
      </w:r>
    </w:p>
    <w:p w14:paraId="59583BA9" w14:textId="6B7CBC52" w:rsidR="004B6B71" w:rsidRPr="004B6B71" w:rsidRDefault="004B6B71" w:rsidP="00A950BA">
      <w:pPr>
        <w:jc w:val="both"/>
        <w:rPr>
          <w:b/>
          <w:bCs/>
        </w:rPr>
      </w:pPr>
      <w:r w:rsidRPr="004B6B71">
        <w:rPr>
          <w:b/>
          <w:bCs/>
        </w:rPr>
        <w:t xml:space="preserve">Observation 2: There are reconfigurations which may or may not be kept at the target. The source does not know this </w:t>
      </w:r>
      <w:r w:rsidR="001303E7">
        <w:rPr>
          <w:b/>
          <w:bCs/>
        </w:rPr>
        <w:t>information,</w:t>
      </w:r>
      <w:r w:rsidRPr="004B6B71">
        <w:rPr>
          <w:b/>
          <w:bCs/>
        </w:rPr>
        <w:t xml:space="preserve"> and this leads to cumbersome sequence of reconfigurations via </w:t>
      </w:r>
      <w:proofErr w:type="spellStart"/>
      <w:r w:rsidRPr="004B6B71">
        <w:rPr>
          <w:b/>
          <w:bCs/>
        </w:rPr>
        <w:t>Uu</w:t>
      </w:r>
      <w:proofErr w:type="spellEnd"/>
      <w:r w:rsidRPr="004B6B71">
        <w:rPr>
          <w:b/>
          <w:bCs/>
        </w:rPr>
        <w:t xml:space="preserve"> and </w:t>
      </w:r>
      <w:proofErr w:type="spellStart"/>
      <w:r w:rsidRPr="004B6B71">
        <w:rPr>
          <w:b/>
          <w:bCs/>
        </w:rPr>
        <w:t>Xn</w:t>
      </w:r>
      <w:proofErr w:type="spellEnd"/>
      <w:r w:rsidRPr="004B6B71">
        <w:rPr>
          <w:b/>
          <w:bCs/>
        </w:rPr>
        <w:t xml:space="preserve"> interfaces.</w:t>
      </w:r>
    </w:p>
    <w:p w14:paraId="72E48B0B" w14:textId="6EBAA189" w:rsidR="004B6B71" w:rsidRDefault="004B6B71" w:rsidP="00A950BA">
      <w:pPr>
        <w:jc w:val="both"/>
      </w:pPr>
      <w:r>
        <w:t xml:space="preserve">How to mitigate it? The source should know the policy of the target – what is decided to be kept and what will be discarded. In theory all this can be deduced from HO command (and/or </w:t>
      </w:r>
      <w:proofErr w:type="spellStart"/>
      <w:r w:rsidRPr="001303E7">
        <w:rPr>
          <w:i/>
          <w:iCs/>
        </w:rPr>
        <w:t>cho</w:t>
      </w:r>
      <w:proofErr w:type="spellEnd"/>
      <w:r w:rsidRPr="001303E7">
        <w:rPr>
          <w:i/>
          <w:iCs/>
        </w:rPr>
        <w:t>-Config</w:t>
      </w:r>
      <w:r>
        <w:t>)</w:t>
      </w:r>
      <w:r w:rsidR="00D30589">
        <w:t xml:space="preserve">, so the source may (if implementation allows that) check the HO command to verify what exactly is retained at the target. However, this is not a standardized method and preferably shall be avoided. </w:t>
      </w:r>
    </w:p>
    <w:p w14:paraId="3D57F286" w14:textId="18E87D04" w:rsidR="004B6B71" w:rsidRPr="00B3138A" w:rsidRDefault="00B3138A" w:rsidP="00A950BA">
      <w:pPr>
        <w:jc w:val="both"/>
        <w:rPr>
          <w:b/>
          <w:bCs/>
        </w:rPr>
      </w:pPr>
      <w:r w:rsidRPr="00B3138A">
        <w:rPr>
          <w:b/>
          <w:bCs/>
        </w:rPr>
        <w:t xml:space="preserve">Observation 3: Relying on the source cell reading the contents of HO command shall not be considered as a valid and always feasible option to make source cell aware of what part of the configuration is retained in the target. </w:t>
      </w:r>
    </w:p>
    <w:p w14:paraId="2A10BACD" w14:textId="584D9CBD" w:rsidR="00B3138A" w:rsidRDefault="00B3138A" w:rsidP="00A950BA">
      <w:pPr>
        <w:jc w:val="both"/>
      </w:pPr>
      <w:r>
        <w:t xml:space="preserve">The problem needs to be addressed by both RAN2 and RAN3. The former shall decide the list of (re)configurations that require and do not require coordination with the target. The latter should work </w:t>
      </w:r>
      <w:r w:rsidR="001303E7">
        <w:t>with</w:t>
      </w:r>
      <w:r>
        <w:t xml:space="preserve"> the appropriate signalling </w:t>
      </w:r>
      <w:r w:rsidR="001303E7">
        <w:t>over</w:t>
      </w:r>
      <w:r>
        <w:t xml:space="preserve"> X</w:t>
      </w:r>
      <w:proofErr w:type="spellStart"/>
      <w:r>
        <w:t>n</w:t>
      </w:r>
      <w:proofErr w:type="spellEnd"/>
      <w:r>
        <w:t xml:space="preserve">/X2 interface. </w:t>
      </w:r>
    </w:p>
    <w:p w14:paraId="022C2991" w14:textId="47FB8A2B" w:rsidR="00A950BA" w:rsidRPr="00A950BA" w:rsidRDefault="00A950BA" w:rsidP="00A950BA">
      <w:pPr>
        <w:jc w:val="both"/>
        <w:rPr>
          <w:b/>
          <w:bCs/>
        </w:rPr>
      </w:pPr>
      <w:r w:rsidRPr="00A950BA">
        <w:rPr>
          <w:b/>
          <w:bCs/>
        </w:rPr>
        <w:t>Proposal 1: RAN2 is asked to define a list of reconfigurations that require and do not require coordination with the target cell. A corresponding signalling is expected to be designed by RAN3.</w:t>
      </w:r>
    </w:p>
    <w:p w14:paraId="113B43EB" w14:textId="40E98089" w:rsidR="00B3138A" w:rsidRPr="00B3138A" w:rsidRDefault="00B3138A" w:rsidP="00A950BA">
      <w:pPr>
        <w:jc w:val="both"/>
      </w:pPr>
      <w:r>
        <w:t xml:space="preserve">This problem is also discussed in Nokia’s </w:t>
      </w:r>
      <w:proofErr w:type="spellStart"/>
      <w:r>
        <w:t>TDoc</w:t>
      </w:r>
      <w:proofErr w:type="spellEnd"/>
      <w:r>
        <w:t xml:space="preserve"> submitted to RAN3</w:t>
      </w:r>
      <w:r>
        <w:rPr>
          <w:lang w:val="pl-PL"/>
        </w:rPr>
        <w:t>#</w:t>
      </w:r>
      <w:r w:rsidR="00A41761">
        <w:t xml:space="preserve">107e </w:t>
      </w:r>
      <w:r w:rsidR="00A41761">
        <w:fldChar w:fldCharType="begin"/>
      </w:r>
      <w:r w:rsidR="00A41761">
        <w:instrText xml:space="preserve"> REF _Ref20502761 \r \h </w:instrText>
      </w:r>
      <w:r w:rsidR="00A950BA">
        <w:instrText xml:space="preserve"> \* MERGEFORMAT </w:instrText>
      </w:r>
      <w:r w:rsidR="00A41761">
        <w:fldChar w:fldCharType="separate"/>
      </w:r>
      <w:r w:rsidR="00A41761">
        <w:t>[1]</w:t>
      </w:r>
      <w:r w:rsidR="00A41761">
        <w:fldChar w:fldCharType="end"/>
      </w:r>
      <w:r w:rsidR="00A41761">
        <w:t>.</w:t>
      </w:r>
    </w:p>
    <w:p w14:paraId="5FF2457F" w14:textId="1A06C53D" w:rsidR="00A209D6" w:rsidRPr="006E13D1" w:rsidRDefault="005260B2" w:rsidP="00A209D6">
      <w:pPr>
        <w:pStyle w:val="Heading1"/>
      </w:pPr>
      <w:r>
        <w:t>3</w:t>
      </w:r>
      <w:r w:rsidR="00A209D6" w:rsidRPr="006E13D1">
        <w:tab/>
      </w:r>
      <w:r w:rsidR="008C3057">
        <w:t>Conclusion</w:t>
      </w:r>
    </w:p>
    <w:p w14:paraId="6C60FFDC" w14:textId="282D8150" w:rsidR="00A209D6" w:rsidRDefault="008D01CF" w:rsidP="00A209D6">
      <w:r>
        <w:t>This paper addressed the topic of RRC Reconfigurations after providing CHO configuration. We made the following</w:t>
      </w:r>
      <w:r w:rsidR="00A950BA">
        <w:t xml:space="preserve"> observations and</w:t>
      </w:r>
      <w:r>
        <w:t xml:space="preserve"> proposals:</w:t>
      </w:r>
    </w:p>
    <w:p w14:paraId="0AF91451" w14:textId="77777777" w:rsidR="001303E7" w:rsidRPr="000415CD" w:rsidRDefault="001303E7" w:rsidP="001303E7">
      <w:pPr>
        <w:jc w:val="both"/>
        <w:rPr>
          <w:b/>
          <w:bCs/>
        </w:rPr>
      </w:pPr>
      <w:r w:rsidRPr="000415CD">
        <w:rPr>
          <w:b/>
          <w:bCs/>
        </w:rPr>
        <w:t xml:space="preserve">Observation 1: When re-admission at target node is needed, it is signalling intensive and risky. The valid UE configuration may not always be ensured.  </w:t>
      </w:r>
    </w:p>
    <w:p w14:paraId="3E8D4378" w14:textId="77777777" w:rsidR="001303E7" w:rsidRPr="004B6B71" w:rsidRDefault="001303E7" w:rsidP="001303E7">
      <w:pPr>
        <w:jc w:val="both"/>
        <w:rPr>
          <w:b/>
          <w:bCs/>
        </w:rPr>
      </w:pPr>
      <w:r w:rsidRPr="004B6B71">
        <w:rPr>
          <w:b/>
          <w:bCs/>
        </w:rPr>
        <w:t xml:space="preserve">Observation 2: There are reconfigurations which may or may not be kept at the target. The source does not know this </w:t>
      </w:r>
      <w:r>
        <w:rPr>
          <w:b/>
          <w:bCs/>
        </w:rPr>
        <w:t>information,</w:t>
      </w:r>
      <w:r w:rsidRPr="004B6B71">
        <w:rPr>
          <w:b/>
          <w:bCs/>
        </w:rPr>
        <w:t xml:space="preserve"> and this leads to cumbersome sequence of reconfiguration</w:t>
      </w:r>
      <w:bookmarkStart w:id="0" w:name="_GoBack"/>
      <w:bookmarkEnd w:id="0"/>
      <w:r w:rsidRPr="004B6B71">
        <w:rPr>
          <w:b/>
          <w:bCs/>
        </w:rPr>
        <w:t xml:space="preserve">s via </w:t>
      </w:r>
      <w:proofErr w:type="spellStart"/>
      <w:r w:rsidRPr="004B6B71">
        <w:rPr>
          <w:b/>
          <w:bCs/>
        </w:rPr>
        <w:t>Uu</w:t>
      </w:r>
      <w:proofErr w:type="spellEnd"/>
      <w:r w:rsidRPr="004B6B71">
        <w:rPr>
          <w:b/>
          <w:bCs/>
        </w:rPr>
        <w:t xml:space="preserve"> and </w:t>
      </w:r>
      <w:proofErr w:type="spellStart"/>
      <w:r w:rsidRPr="004B6B71">
        <w:rPr>
          <w:b/>
          <w:bCs/>
        </w:rPr>
        <w:t>Xn</w:t>
      </w:r>
      <w:proofErr w:type="spellEnd"/>
      <w:r w:rsidRPr="004B6B71">
        <w:rPr>
          <w:b/>
          <w:bCs/>
        </w:rPr>
        <w:t xml:space="preserve"> interfaces.</w:t>
      </w:r>
    </w:p>
    <w:p w14:paraId="0B2816DD" w14:textId="77777777" w:rsidR="001303E7" w:rsidRPr="00B3138A" w:rsidRDefault="001303E7" w:rsidP="001303E7">
      <w:pPr>
        <w:jc w:val="both"/>
        <w:rPr>
          <w:b/>
          <w:bCs/>
        </w:rPr>
      </w:pPr>
      <w:r w:rsidRPr="00B3138A">
        <w:rPr>
          <w:b/>
          <w:bCs/>
        </w:rPr>
        <w:t xml:space="preserve">Observation 3: Relying on the source cell reading the contents of HO command shall not be considered as a valid and always feasible option to make source cell aware of what part of the configuration is retained in the target. </w:t>
      </w:r>
    </w:p>
    <w:p w14:paraId="29C5ABC9" w14:textId="77777777" w:rsidR="001303E7" w:rsidRPr="00A950BA" w:rsidRDefault="001303E7" w:rsidP="001303E7">
      <w:pPr>
        <w:jc w:val="both"/>
        <w:rPr>
          <w:b/>
          <w:bCs/>
        </w:rPr>
      </w:pPr>
      <w:r w:rsidRPr="00A950BA">
        <w:rPr>
          <w:b/>
          <w:bCs/>
        </w:rPr>
        <w:t>Proposal 1: RAN2 is asked to define a list of reconfigurations that require and do not require coordination with the target cell. A corresponding signalling is expected to be designed by RAN3.</w:t>
      </w:r>
    </w:p>
    <w:p w14:paraId="405F12C6" w14:textId="10C97D8B" w:rsidR="00B45D99" w:rsidRPr="006E13D1" w:rsidRDefault="005260B2" w:rsidP="00B45D99">
      <w:pPr>
        <w:pStyle w:val="Heading1"/>
      </w:pPr>
      <w:r>
        <w:t>4</w:t>
      </w:r>
      <w:r w:rsidR="00B45D99" w:rsidRPr="006E13D1">
        <w:tab/>
      </w:r>
      <w:r w:rsidR="00B45D99">
        <w:t>References</w:t>
      </w:r>
    </w:p>
    <w:p w14:paraId="1A5FF998" w14:textId="36D84066" w:rsidR="00B45D99" w:rsidRDefault="00B45D99" w:rsidP="00B45D99">
      <w:pPr>
        <w:pStyle w:val="ListParagraph"/>
        <w:numPr>
          <w:ilvl w:val="0"/>
          <w:numId w:val="13"/>
        </w:numPr>
      </w:pPr>
      <w:bookmarkStart w:id="1" w:name="_Ref20502761"/>
      <w:r>
        <w:t>R</w:t>
      </w:r>
      <w:r w:rsidR="009E7EA7">
        <w:t>3</w:t>
      </w:r>
      <w:r>
        <w:t>-</w:t>
      </w:r>
      <w:r w:rsidR="009E7EA7">
        <w:t>20xxxx</w:t>
      </w:r>
      <w:r>
        <w:t xml:space="preserve"> </w:t>
      </w:r>
      <w:r w:rsidR="009E7EA7" w:rsidRPr="009E7EA7">
        <w:rPr>
          <w:i/>
        </w:rPr>
        <w:t>Avoiding unnecessary CHO modification</w:t>
      </w:r>
      <w:r>
        <w:t>, RAN3#10</w:t>
      </w:r>
      <w:r w:rsidR="009E7EA7">
        <w:t>7e</w:t>
      </w:r>
      <w:r>
        <w:t xml:space="preserve">, </w:t>
      </w:r>
      <w:r w:rsidR="001303E7">
        <w:t>24 February – 6 March</w:t>
      </w:r>
      <w:r>
        <w:t xml:space="preserve"> 2</w:t>
      </w:r>
      <w:r w:rsidR="009E7EA7">
        <w:t>020</w:t>
      </w:r>
      <w:bookmarkEnd w:id="1"/>
    </w:p>
    <w:p w14:paraId="5FEC2F97" w14:textId="77777777" w:rsidR="00B45D99" w:rsidRDefault="00B45D99" w:rsidP="00B45D99"/>
    <w:p w14:paraId="3849E9E2" w14:textId="069E51C8" w:rsidR="00E839A8" w:rsidRDefault="00E839A8" w:rsidP="00A209D6"/>
    <w:sectPr w:rsidR="00E839A8" w:rsidSect="005036A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912BA" w14:textId="77777777" w:rsidR="00713830" w:rsidRDefault="00713830">
      <w:r>
        <w:separator/>
      </w:r>
    </w:p>
  </w:endnote>
  <w:endnote w:type="continuationSeparator" w:id="0">
    <w:p w14:paraId="2837D32C" w14:textId="77777777" w:rsidR="00713830" w:rsidRDefault="00713830">
      <w:r>
        <w:continuationSeparator/>
      </w:r>
    </w:p>
  </w:endnote>
  <w:endnote w:type="continuationNotice" w:id="1">
    <w:p w14:paraId="0B1CCE26" w14:textId="77777777" w:rsidR="00713830" w:rsidRDefault="007138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DD98FC" w14:textId="77777777" w:rsidR="00713830" w:rsidRDefault="00713830">
      <w:r>
        <w:separator/>
      </w:r>
    </w:p>
  </w:footnote>
  <w:footnote w:type="continuationSeparator" w:id="0">
    <w:p w14:paraId="018AAB6A" w14:textId="77777777" w:rsidR="00713830" w:rsidRDefault="00713830">
      <w:r>
        <w:continuationSeparator/>
      </w:r>
    </w:p>
  </w:footnote>
  <w:footnote w:type="continuationNotice" w:id="1">
    <w:p w14:paraId="5C288C5C" w14:textId="77777777" w:rsidR="00713830" w:rsidRDefault="007138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EC03ED"/>
    <w:multiLevelType w:val="hybridMultilevel"/>
    <w:tmpl w:val="AD38F034"/>
    <w:lvl w:ilvl="0" w:tplc="AA4EF41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5A72696"/>
    <w:multiLevelType w:val="hybridMultilevel"/>
    <w:tmpl w:val="29841B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70F2EC7"/>
    <w:multiLevelType w:val="hybridMultilevel"/>
    <w:tmpl w:val="73CAA2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8364989"/>
    <w:multiLevelType w:val="hybridMultilevel"/>
    <w:tmpl w:val="49DCFC80"/>
    <w:lvl w:ilvl="0" w:tplc="94B0BF6C">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DD71F87"/>
    <w:multiLevelType w:val="hybridMultilevel"/>
    <w:tmpl w:val="57ACE4D4"/>
    <w:lvl w:ilvl="0" w:tplc="5FFE1272">
      <w:start w:val="6"/>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586857AC"/>
    <w:multiLevelType w:val="hybridMultilevel"/>
    <w:tmpl w:val="50F06B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9A177F1"/>
    <w:multiLevelType w:val="hybridMultilevel"/>
    <w:tmpl w:val="3D2ACB06"/>
    <w:lvl w:ilvl="0" w:tplc="04070001">
      <w:start w:val="1"/>
      <w:numFmt w:val="bullet"/>
      <w:lvlText w:val=""/>
      <w:lvlJc w:val="left"/>
      <w:pPr>
        <w:ind w:left="774" w:hanging="360"/>
      </w:pPr>
      <w:rPr>
        <w:rFonts w:ascii="Symbol" w:hAnsi="Symbol" w:hint="default"/>
      </w:rPr>
    </w:lvl>
    <w:lvl w:ilvl="1" w:tplc="04070003" w:tentative="1">
      <w:start w:val="1"/>
      <w:numFmt w:val="bullet"/>
      <w:lvlText w:val="o"/>
      <w:lvlJc w:val="left"/>
      <w:pPr>
        <w:ind w:left="1494" w:hanging="360"/>
      </w:pPr>
      <w:rPr>
        <w:rFonts w:ascii="Courier New" w:hAnsi="Courier New" w:cs="Courier New" w:hint="default"/>
      </w:rPr>
    </w:lvl>
    <w:lvl w:ilvl="2" w:tplc="04070005" w:tentative="1">
      <w:start w:val="1"/>
      <w:numFmt w:val="bullet"/>
      <w:lvlText w:val=""/>
      <w:lvlJc w:val="left"/>
      <w:pPr>
        <w:ind w:left="2214" w:hanging="360"/>
      </w:pPr>
      <w:rPr>
        <w:rFonts w:ascii="Wingdings" w:hAnsi="Wingdings" w:hint="default"/>
      </w:rPr>
    </w:lvl>
    <w:lvl w:ilvl="3" w:tplc="04070001" w:tentative="1">
      <w:start w:val="1"/>
      <w:numFmt w:val="bullet"/>
      <w:lvlText w:val=""/>
      <w:lvlJc w:val="left"/>
      <w:pPr>
        <w:ind w:left="2934" w:hanging="360"/>
      </w:pPr>
      <w:rPr>
        <w:rFonts w:ascii="Symbol" w:hAnsi="Symbol" w:hint="default"/>
      </w:rPr>
    </w:lvl>
    <w:lvl w:ilvl="4" w:tplc="04070003" w:tentative="1">
      <w:start w:val="1"/>
      <w:numFmt w:val="bullet"/>
      <w:lvlText w:val="o"/>
      <w:lvlJc w:val="left"/>
      <w:pPr>
        <w:ind w:left="3654" w:hanging="360"/>
      </w:pPr>
      <w:rPr>
        <w:rFonts w:ascii="Courier New" w:hAnsi="Courier New" w:cs="Courier New" w:hint="default"/>
      </w:rPr>
    </w:lvl>
    <w:lvl w:ilvl="5" w:tplc="04070005" w:tentative="1">
      <w:start w:val="1"/>
      <w:numFmt w:val="bullet"/>
      <w:lvlText w:val=""/>
      <w:lvlJc w:val="left"/>
      <w:pPr>
        <w:ind w:left="4374" w:hanging="360"/>
      </w:pPr>
      <w:rPr>
        <w:rFonts w:ascii="Wingdings" w:hAnsi="Wingdings" w:hint="default"/>
      </w:rPr>
    </w:lvl>
    <w:lvl w:ilvl="6" w:tplc="04070001" w:tentative="1">
      <w:start w:val="1"/>
      <w:numFmt w:val="bullet"/>
      <w:lvlText w:val=""/>
      <w:lvlJc w:val="left"/>
      <w:pPr>
        <w:ind w:left="5094" w:hanging="360"/>
      </w:pPr>
      <w:rPr>
        <w:rFonts w:ascii="Symbol" w:hAnsi="Symbol" w:hint="default"/>
      </w:rPr>
    </w:lvl>
    <w:lvl w:ilvl="7" w:tplc="04070003" w:tentative="1">
      <w:start w:val="1"/>
      <w:numFmt w:val="bullet"/>
      <w:lvlText w:val="o"/>
      <w:lvlJc w:val="left"/>
      <w:pPr>
        <w:ind w:left="5814" w:hanging="360"/>
      </w:pPr>
      <w:rPr>
        <w:rFonts w:ascii="Courier New" w:hAnsi="Courier New" w:cs="Courier New" w:hint="default"/>
      </w:rPr>
    </w:lvl>
    <w:lvl w:ilvl="8" w:tplc="04070005" w:tentative="1">
      <w:start w:val="1"/>
      <w:numFmt w:val="bullet"/>
      <w:lvlText w:val=""/>
      <w:lvlJc w:val="left"/>
      <w:pPr>
        <w:ind w:left="653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9"/>
  </w:num>
  <w:num w:numId="7">
    <w:abstractNumId w:val="10"/>
  </w:num>
  <w:num w:numId="8">
    <w:abstractNumId w:val="3"/>
  </w:num>
  <w:num w:numId="9">
    <w:abstractNumId w:val="12"/>
  </w:num>
  <w:num w:numId="10">
    <w:abstractNumId w:val="11"/>
  </w:num>
  <w:num w:numId="11">
    <w:abstractNumId w:val="4"/>
  </w:num>
  <w:num w:numId="12">
    <w:abstractNumId w:val="5"/>
  </w:num>
  <w:num w:numId="13">
    <w:abstractNumId w:val="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00"/>
    <w:rsid w:val="00016557"/>
    <w:rsid w:val="00023C40"/>
    <w:rsid w:val="00033397"/>
    <w:rsid w:val="00040095"/>
    <w:rsid w:val="000415CD"/>
    <w:rsid w:val="00057C6D"/>
    <w:rsid w:val="00064F5C"/>
    <w:rsid w:val="00073C9C"/>
    <w:rsid w:val="00080512"/>
    <w:rsid w:val="0008788E"/>
    <w:rsid w:val="00090468"/>
    <w:rsid w:val="00094568"/>
    <w:rsid w:val="000B7BCF"/>
    <w:rsid w:val="000C522B"/>
    <w:rsid w:val="000D4ED4"/>
    <w:rsid w:val="000D58AB"/>
    <w:rsid w:val="000E3038"/>
    <w:rsid w:val="000F7A39"/>
    <w:rsid w:val="00112F1A"/>
    <w:rsid w:val="00126C26"/>
    <w:rsid w:val="001303E7"/>
    <w:rsid w:val="00131869"/>
    <w:rsid w:val="00145075"/>
    <w:rsid w:val="00157B5D"/>
    <w:rsid w:val="001741A0"/>
    <w:rsid w:val="00175FA0"/>
    <w:rsid w:val="00194558"/>
    <w:rsid w:val="00194CD0"/>
    <w:rsid w:val="001A38E1"/>
    <w:rsid w:val="001A4D71"/>
    <w:rsid w:val="001B49C9"/>
    <w:rsid w:val="001C23F4"/>
    <w:rsid w:val="001C26AF"/>
    <w:rsid w:val="001C4F79"/>
    <w:rsid w:val="001D53C5"/>
    <w:rsid w:val="001F168B"/>
    <w:rsid w:val="001F19B3"/>
    <w:rsid w:val="001F7831"/>
    <w:rsid w:val="00204045"/>
    <w:rsid w:val="0020712B"/>
    <w:rsid w:val="0022606D"/>
    <w:rsid w:val="00227542"/>
    <w:rsid w:val="00231728"/>
    <w:rsid w:val="00250404"/>
    <w:rsid w:val="002610D8"/>
    <w:rsid w:val="002747EC"/>
    <w:rsid w:val="00276C88"/>
    <w:rsid w:val="00283894"/>
    <w:rsid w:val="002855BF"/>
    <w:rsid w:val="00290CDD"/>
    <w:rsid w:val="002A0699"/>
    <w:rsid w:val="002A770F"/>
    <w:rsid w:val="002C2637"/>
    <w:rsid w:val="002C401F"/>
    <w:rsid w:val="002D2D69"/>
    <w:rsid w:val="002E2D8C"/>
    <w:rsid w:val="002E3BBC"/>
    <w:rsid w:val="002F0D22"/>
    <w:rsid w:val="002F56BA"/>
    <w:rsid w:val="00316224"/>
    <w:rsid w:val="003172DC"/>
    <w:rsid w:val="00325AE3"/>
    <w:rsid w:val="00326069"/>
    <w:rsid w:val="003274F9"/>
    <w:rsid w:val="00331D4C"/>
    <w:rsid w:val="0035462D"/>
    <w:rsid w:val="0035576A"/>
    <w:rsid w:val="00357819"/>
    <w:rsid w:val="00364B41"/>
    <w:rsid w:val="00365519"/>
    <w:rsid w:val="0037525F"/>
    <w:rsid w:val="003809C7"/>
    <w:rsid w:val="00381E60"/>
    <w:rsid w:val="00383096"/>
    <w:rsid w:val="003A41EF"/>
    <w:rsid w:val="003B40AD"/>
    <w:rsid w:val="003C46C1"/>
    <w:rsid w:val="003C4E37"/>
    <w:rsid w:val="003D0F4E"/>
    <w:rsid w:val="003E16BE"/>
    <w:rsid w:val="003F30BE"/>
    <w:rsid w:val="003F4E28"/>
    <w:rsid w:val="004006E8"/>
    <w:rsid w:val="00401855"/>
    <w:rsid w:val="004139CD"/>
    <w:rsid w:val="00414FDC"/>
    <w:rsid w:val="00416DB7"/>
    <w:rsid w:val="0042473D"/>
    <w:rsid w:val="00465587"/>
    <w:rsid w:val="00477455"/>
    <w:rsid w:val="00481D50"/>
    <w:rsid w:val="00482100"/>
    <w:rsid w:val="004A1F7B"/>
    <w:rsid w:val="004A6070"/>
    <w:rsid w:val="004B6B71"/>
    <w:rsid w:val="004C44D2"/>
    <w:rsid w:val="004D3578"/>
    <w:rsid w:val="004D380D"/>
    <w:rsid w:val="004D461A"/>
    <w:rsid w:val="004D4904"/>
    <w:rsid w:val="004E213A"/>
    <w:rsid w:val="004F7FF5"/>
    <w:rsid w:val="00503171"/>
    <w:rsid w:val="005036A3"/>
    <w:rsid w:val="00506C28"/>
    <w:rsid w:val="0051137F"/>
    <w:rsid w:val="00524D7C"/>
    <w:rsid w:val="005260B2"/>
    <w:rsid w:val="00526970"/>
    <w:rsid w:val="005302AA"/>
    <w:rsid w:val="00534DA0"/>
    <w:rsid w:val="00543E6C"/>
    <w:rsid w:val="0056473B"/>
    <w:rsid w:val="00565087"/>
    <w:rsid w:val="0056573F"/>
    <w:rsid w:val="0057391C"/>
    <w:rsid w:val="005B63AD"/>
    <w:rsid w:val="005E1328"/>
    <w:rsid w:val="00611566"/>
    <w:rsid w:val="006159F8"/>
    <w:rsid w:val="00646D99"/>
    <w:rsid w:val="00656910"/>
    <w:rsid w:val="00656EE3"/>
    <w:rsid w:val="006574C0"/>
    <w:rsid w:val="006B00CA"/>
    <w:rsid w:val="006B0410"/>
    <w:rsid w:val="006C66D8"/>
    <w:rsid w:val="006D1E24"/>
    <w:rsid w:val="006E1417"/>
    <w:rsid w:val="006F6A2C"/>
    <w:rsid w:val="007069DC"/>
    <w:rsid w:val="00710201"/>
    <w:rsid w:val="00713830"/>
    <w:rsid w:val="0072073A"/>
    <w:rsid w:val="00723714"/>
    <w:rsid w:val="007342B5"/>
    <w:rsid w:val="007346A1"/>
    <w:rsid w:val="00734A5B"/>
    <w:rsid w:val="00741E57"/>
    <w:rsid w:val="00744E76"/>
    <w:rsid w:val="007478DA"/>
    <w:rsid w:val="00755CB7"/>
    <w:rsid w:val="00756928"/>
    <w:rsid w:val="00757D40"/>
    <w:rsid w:val="007662B5"/>
    <w:rsid w:val="007665CE"/>
    <w:rsid w:val="00780A41"/>
    <w:rsid w:val="00781F0F"/>
    <w:rsid w:val="0078727C"/>
    <w:rsid w:val="0079049D"/>
    <w:rsid w:val="00793DC5"/>
    <w:rsid w:val="007A617C"/>
    <w:rsid w:val="007B18D8"/>
    <w:rsid w:val="007B1B12"/>
    <w:rsid w:val="007C095F"/>
    <w:rsid w:val="007C2DD0"/>
    <w:rsid w:val="007D1C5E"/>
    <w:rsid w:val="007F2E08"/>
    <w:rsid w:val="007F3E38"/>
    <w:rsid w:val="00802445"/>
    <w:rsid w:val="008028A4"/>
    <w:rsid w:val="00813245"/>
    <w:rsid w:val="00840DE0"/>
    <w:rsid w:val="008455B5"/>
    <w:rsid w:val="00846A4C"/>
    <w:rsid w:val="00857F27"/>
    <w:rsid w:val="0086354A"/>
    <w:rsid w:val="008662AE"/>
    <w:rsid w:val="008768CA"/>
    <w:rsid w:val="008770A1"/>
    <w:rsid w:val="00877EF9"/>
    <w:rsid w:val="00880559"/>
    <w:rsid w:val="00894969"/>
    <w:rsid w:val="00895A29"/>
    <w:rsid w:val="008B5306"/>
    <w:rsid w:val="008C224B"/>
    <w:rsid w:val="008C3057"/>
    <w:rsid w:val="008D01CF"/>
    <w:rsid w:val="008D2E4D"/>
    <w:rsid w:val="008E735E"/>
    <w:rsid w:val="008E79BF"/>
    <w:rsid w:val="008F396F"/>
    <w:rsid w:val="0090271F"/>
    <w:rsid w:val="00902DB9"/>
    <w:rsid w:val="0090466A"/>
    <w:rsid w:val="00923655"/>
    <w:rsid w:val="00936071"/>
    <w:rsid w:val="009375F5"/>
    <w:rsid w:val="00940212"/>
    <w:rsid w:val="00942EC2"/>
    <w:rsid w:val="0094393C"/>
    <w:rsid w:val="00954CD6"/>
    <w:rsid w:val="00957B9D"/>
    <w:rsid w:val="00961B32"/>
    <w:rsid w:val="00962509"/>
    <w:rsid w:val="0096753B"/>
    <w:rsid w:val="00970DB3"/>
    <w:rsid w:val="009718A3"/>
    <w:rsid w:val="00974BB0"/>
    <w:rsid w:val="00975331"/>
    <w:rsid w:val="00975BCD"/>
    <w:rsid w:val="009A0AF3"/>
    <w:rsid w:val="009B07CD"/>
    <w:rsid w:val="009B0CF1"/>
    <w:rsid w:val="009C16D0"/>
    <w:rsid w:val="009C19E9"/>
    <w:rsid w:val="009D74A6"/>
    <w:rsid w:val="009E7EA7"/>
    <w:rsid w:val="00A10F02"/>
    <w:rsid w:val="00A14E5E"/>
    <w:rsid w:val="00A204CA"/>
    <w:rsid w:val="00A209D6"/>
    <w:rsid w:val="00A23A0B"/>
    <w:rsid w:val="00A24FA2"/>
    <w:rsid w:val="00A41761"/>
    <w:rsid w:val="00A53724"/>
    <w:rsid w:val="00A54B2B"/>
    <w:rsid w:val="00A66340"/>
    <w:rsid w:val="00A82346"/>
    <w:rsid w:val="00A9393E"/>
    <w:rsid w:val="00A950BA"/>
    <w:rsid w:val="00A9671C"/>
    <w:rsid w:val="00AA1553"/>
    <w:rsid w:val="00AB54CB"/>
    <w:rsid w:val="00AD6DD7"/>
    <w:rsid w:val="00B05380"/>
    <w:rsid w:val="00B05962"/>
    <w:rsid w:val="00B15449"/>
    <w:rsid w:val="00B16C2F"/>
    <w:rsid w:val="00B27303"/>
    <w:rsid w:val="00B3138A"/>
    <w:rsid w:val="00B4059B"/>
    <w:rsid w:val="00B45D99"/>
    <w:rsid w:val="00B47463"/>
    <w:rsid w:val="00B47FD1"/>
    <w:rsid w:val="00B516BB"/>
    <w:rsid w:val="00B525F6"/>
    <w:rsid w:val="00B84DB2"/>
    <w:rsid w:val="00B93F16"/>
    <w:rsid w:val="00BA4512"/>
    <w:rsid w:val="00BB23D2"/>
    <w:rsid w:val="00BC3555"/>
    <w:rsid w:val="00BC4CB0"/>
    <w:rsid w:val="00BD5402"/>
    <w:rsid w:val="00C06997"/>
    <w:rsid w:val="00C10A4C"/>
    <w:rsid w:val="00C12B51"/>
    <w:rsid w:val="00C21051"/>
    <w:rsid w:val="00C24650"/>
    <w:rsid w:val="00C25465"/>
    <w:rsid w:val="00C25F10"/>
    <w:rsid w:val="00C306D5"/>
    <w:rsid w:val="00C31DBC"/>
    <w:rsid w:val="00C3238C"/>
    <w:rsid w:val="00C33079"/>
    <w:rsid w:val="00C334DB"/>
    <w:rsid w:val="00C83A13"/>
    <w:rsid w:val="00C8749E"/>
    <w:rsid w:val="00C9068C"/>
    <w:rsid w:val="00C92967"/>
    <w:rsid w:val="00C93F0D"/>
    <w:rsid w:val="00CA3D0C"/>
    <w:rsid w:val="00CA41F9"/>
    <w:rsid w:val="00CA5CEF"/>
    <w:rsid w:val="00CA654B"/>
    <w:rsid w:val="00CB12DD"/>
    <w:rsid w:val="00CB39D8"/>
    <w:rsid w:val="00CB72B8"/>
    <w:rsid w:val="00CD4C7B"/>
    <w:rsid w:val="00CF6E45"/>
    <w:rsid w:val="00D26997"/>
    <w:rsid w:val="00D30589"/>
    <w:rsid w:val="00D33BE3"/>
    <w:rsid w:val="00D3792D"/>
    <w:rsid w:val="00D40BA7"/>
    <w:rsid w:val="00D46A43"/>
    <w:rsid w:val="00D55E47"/>
    <w:rsid w:val="00D62E19"/>
    <w:rsid w:val="00D67CD1"/>
    <w:rsid w:val="00D72372"/>
    <w:rsid w:val="00D738D6"/>
    <w:rsid w:val="00D80795"/>
    <w:rsid w:val="00D854BE"/>
    <w:rsid w:val="00D87E00"/>
    <w:rsid w:val="00D9134D"/>
    <w:rsid w:val="00D96D11"/>
    <w:rsid w:val="00D97207"/>
    <w:rsid w:val="00DA7A03"/>
    <w:rsid w:val="00DB0DB8"/>
    <w:rsid w:val="00DB0FE0"/>
    <w:rsid w:val="00DB1818"/>
    <w:rsid w:val="00DB3BE7"/>
    <w:rsid w:val="00DC309B"/>
    <w:rsid w:val="00DC4DA2"/>
    <w:rsid w:val="00DC5261"/>
    <w:rsid w:val="00DE25D2"/>
    <w:rsid w:val="00DF4221"/>
    <w:rsid w:val="00E324F5"/>
    <w:rsid w:val="00E46C08"/>
    <w:rsid w:val="00E471CF"/>
    <w:rsid w:val="00E62835"/>
    <w:rsid w:val="00E6306E"/>
    <w:rsid w:val="00E75B74"/>
    <w:rsid w:val="00E77645"/>
    <w:rsid w:val="00E83697"/>
    <w:rsid w:val="00E839A8"/>
    <w:rsid w:val="00E84D56"/>
    <w:rsid w:val="00E94A27"/>
    <w:rsid w:val="00E96DAF"/>
    <w:rsid w:val="00EA66C9"/>
    <w:rsid w:val="00EB29C7"/>
    <w:rsid w:val="00EB5374"/>
    <w:rsid w:val="00EC4A25"/>
    <w:rsid w:val="00EC667A"/>
    <w:rsid w:val="00ED7709"/>
    <w:rsid w:val="00EE6E6C"/>
    <w:rsid w:val="00EF1320"/>
    <w:rsid w:val="00F025A2"/>
    <w:rsid w:val="00F036E9"/>
    <w:rsid w:val="00F07388"/>
    <w:rsid w:val="00F2026E"/>
    <w:rsid w:val="00F2210A"/>
    <w:rsid w:val="00F30D20"/>
    <w:rsid w:val="00F35A74"/>
    <w:rsid w:val="00F37743"/>
    <w:rsid w:val="00F40336"/>
    <w:rsid w:val="00F42BC5"/>
    <w:rsid w:val="00F54A3D"/>
    <w:rsid w:val="00F54CB0"/>
    <w:rsid w:val="00F579CD"/>
    <w:rsid w:val="00F653B8"/>
    <w:rsid w:val="00F71B89"/>
    <w:rsid w:val="00F7353C"/>
    <w:rsid w:val="00F765E9"/>
    <w:rsid w:val="00F76F8F"/>
    <w:rsid w:val="00F9023F"/>
    <w:rsid w:val="00F941DF"/>
    <w:rsid w:val="00FA1266"/>
    <w:rsid w:val="00FB06F6"/>
    <w:rsid w:val="00FB2D76"/>
    <w:rsid w:val="00FB36FA"/>
    <w:rsid w:val="00FB648B"/>
    <w:rsid w:val="00FC1192"/>
    <w:rsid w:val="00FD6ED0"/>
    <w:rsid w:val="00FD7DBF"/>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A24F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3BBC"/>
    <w:pPr>
      <w:ind w:left="720"/>
      <w:contextualSpacing/>
    </w:pPr>
  </w:style>
  <w:style w:type="paragraph" w:styleId="Caption">
    <w:name w:val="caption"/>
    <w:basedOn w:val="Normal"/>
    <w:next w:val="Normal"/>
    <w:unhideWhenUsed/>
    <w:qFormat/>
    <w:rsid w:val="00E94A27"/>
    <w:pPr>
      <w:spacing w:after="200"/>
    </w:pPr>
    <w:rPr>
      <w:i/>
      <w:iCs/>
      <w:color w:val="44546A" w:themeColor="text2"/>
      <w:sz w:val="18"/>
      <w:szCs w:val="18"/>
    </w:rPr>
  </w:style>
  <w:style w:type="character" w:customStyle="1" w:styleId="NOChar">
    <w:name w:val="NO Char"/>
    <w:link w:val="NO"/>
    <w:qFormat/>
    <w:rsid w:val="004A6070"/>
    <w:rPr>
      <w:lang w:eastAsia="en-US"/>
    </w:rPr>
  </w:style>
  <w:style w:type="character" w:customStyle="1" w:styleId="B1Char1">
    <w:name w:val="B1 Char1"/>
    <w:link w:val="B1"/>
    <w:qFormat/>
    <w:rsid w:val="004A6070"/>
    <w:rPr>
      <w:lang w:eastAsia="en-US"/>
    </w:rPr>
  </w:style>
  <w:style w:type="character" w:customStyle="1" w:styleId="B2Char">
    <w:name w:val="B2 Char"/>
    <w:link w:val="B2"/>
    <w:qFormat/>
    <w:rsid w:val="004A6070"/>
    <w:rPr>
      <w:lang w:eastAsia="en-US"/>
    </w:rPr>
  </w:style>
  <w:style w:type="character" w:styleId="CommentReference">
    <w:name w:val="annotation reference"/>
    <w:basedOn w:val="DefaultParagraphFont"/>
    <w:rsid w:val="005B63AD"/>
    <w:rPr>
      <w:sz w:val="16"/>
      <w:szCs w:val="16"/>
    </w:rPr>
  </w:style>
  <w:style w:type="paragraph" w:styleId="CommentText">
    <w:name w:val="annotation text"/>
    <w:basedOn w:val="Normal"/>
    <w:link w:val="CommentTextChar"/>
    <w:rsid w:val="005B63AD"/>
  </w:style>
  <w:style w:type="character" w:customStyle="1" w:styleId="CommentTextChar">
    <w:name w:val="Comment Text Char"/>
    <w:basedOn w:val="DefaultParagraphFont"/>
    <w:link w:val="CommentText"/>
    <w:rsid w:val="005B63AD"/>
    <w:rPr>
      <w:lang w:eastAsia="en-US"/>
    </w:rPr>
  </w:style>
  <w:style w:type="paragraph" w:styleId="CommentSubject">
    <w:name w:val="annotation subject"/>
    <w:basedOn w:val="CommentText"/>
    <w:next w:val="CommentText"/>
    <w:link w:val="CommentSubjectChar"/>
    <w:rsid w:val="005B63AD"/>
    <w:rPr>
      <w:b/>
      <w:bCs/>
    </w:rPr>
  </w:style>
  <w:style w:type="character" w:customStyle="1" w:styleId="CommentSubjectChar">
    <w:name w:val="Comment Subject Char"/>
    <w:basedOn w:val="CommentTextChar"/>
    <w:link w:val="CommentSubject"/>
    <w:rsid w:val="005B63A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5AIRPNAIUNRU-859666464-6099</_dlc_DocId>
    <_dlc_DocIdUrl xmlns="71c5aaf6-e6ce-465b-b873-5148d2a4c105">
      <Url>https://nokia.sharepoint.com/sites/c5g/e2earch/_layouts/15/DocIdRedir.aspx?ID=5AIRPNAIUNRU-859666464-6099</Url>
      <Description>5AIRPNAIUNRU-859666464-6099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http://purl.org/dc/elements/1.1/"/>
    <ds:schemaRef ds:uri="http://purl.org/dc/dcmitype/"/>
    <ds:schemaRef ds:uri="http://schemas.microsoft.com/office/infopath/2007/PartnerControls"/>
    <ds:schemaRef ds:uri="83f22d2f-d16e-4be6-ad4f-29fa0b067c3c"/>
    <ds:schemaRef ds:uri="3b34c8f0-1ef5-4d1e-bb66-517ce7fe7356"/>
    <ds:schemaRef ds:uri="http://schemas.microsoft.com/office/2006/metadata/properties"/>
    <ds:schemaRef ds:uri="http://schemas.microsoft.com/office/2006/documentManagement/types"/>
    <ds:schemaRef ds:uri="71c5aaf6-e6ce-465b-b873-5148d2a4c105"/>
    <ds:schemaRef ds:uri="a3840f4f-04be-43d1-b2ef-6ff1382503c7"/>
    <ds:schemaRef ds:uri="http://www.w3.org/XML/1998/namespace"/>
  </ds:schemaRefs>
</ds:datastoreItem>
</file>

<file path=customXml/itemProps2.xml><?xml version="1.0" encoding="utf-8"?>
<ds:datastoreItem xmlns:ds="http://schemas.openxmlformats.org/officeDocument/2006/customXml" ds:itemID="{E457924B-BD46-43C9-8D91-BD1219E512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9D584796-2453-4A0C-9BD5-506FB84E3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103</TotalTime>
  <Pages>2</Pages>
  <Words>922</Words>
  <Characters>4846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5757</CharactersWithSpaces>
  <SharedDoc>false</SharedDoc>
  <HyperlinkBase/>
  <HLinks>
    <vt:vector size="12" baseType="variant">
      <vt:variant>
        <vt:i4>4784197</vt:i4>
      </vt:variant>
      <vt:variant>
        <vt:i4>3</vt:i4>
      </vt:variant>
      <vt:variant>
        <vt:i4>0</vt:i4>
      </vt:variant>
      <vt:variant>
        <vt:i4>5</vt:i4>
      </vt:variant>
      <vt:variant>
        <vt:lpwstr>http://www.3gpp.org/DynaReport/36331.htm</vt:lpwstr>
      </vt:variant>
      <vt:variant>
        <vt:lpwstr/>
      </vt:variant>
      <vt:variant>
        <vt:i4>4784203</vt:i4>
      </vt:variant>
      <vt:variant>
        <vt:i4>0</vt:i4>
      </vt:variant>
      <vt:variant>
        <vt:i4>0</vt:i4>
      </vt:variant>
      <vt:variant>
        <vt:i4>5</vt:i4>
      </vt:variant>
      <vt:variant>
        <vt:lpwstr>http://www.3gpp.org/DynaReport/38331.htm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
  <cp:lastModifiedBy>Stanczak, Jedrzej (Nokia - PL/Wroclaw)</cp:lastModifiedBy>
  <cp:revision>95</cp:revision>
  <dcterms:created xsi:type="dcterms:W3CDTF">2019-09-19T09:21:00Z</dcterms:created>
  <dcterms:modified xsi:type="dcterms:W3CDTF">2020-02-13T15:11:00Z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0cac2ef0-b377-4c0b-a4e6-ab2eff0ddfff</vt:lpwstr>
  </property>
</Properties>
</file>